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A" w:rsidRDefault="00C35D13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ge">
              <wp:posOffset>390525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440CD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96437">
              <w:rPr>
                <w:b w:val="0"/>
              </w:rPr>
              <w:t>02 августа</w:t>
            </w:r>
            <w:r w:rsidR="00C35D13">
              <w:rPr>
                <w:b w:val="0"/>
              </w:rPr>
              <w:t xml:space="preserve"> 2016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796437">
              <w:rPr>
                <w:b w:val="0"/>
              </w:rPr>
              <w:t>95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580E5A" w:rsidRDefault="00580E5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3B5C17" w:rsidRPr="00E06B8D" w:rsidTr="008A7009">
        <w:trPr>
          <w:trHeight w:val="1139"/>
        </w:trPr>
        <w:tc>
          <w:tcPr>
            <w:tcW w:w="4788" w:type="dxa"/>
          </w:tcPr>
          <w:p w:rsidR="003B5C17" w:rsidRPr="00796437" w:rsidRDefault="00796437" w:rsidP="00C35D13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796437">
              <w:rPr>
                <w:b w:val="0"/>
                <w:szCs w:val="28"/>
              </w:rPr>
              <w:t>О выделении специальных мест для размещения предвыборных печатных агитационных и информационных материалов</w:t>
            </w: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107BD" w:rsidRDefault="005107BD" w:rsidP="005374D4">
      <w:pPr>
        <w:jc w:val="both"/>
      </w:pPr>
    </w:p>
    <w:p w:rsidR="004744C3" w:rsidRDefault="004744C3" w:rsidP="005374D4">
      <w:pPr>
        <w:jc w:val="both"/>
      </w:pPr>
    </w:p>
    <w:p w:rsidR="00796437" w:rsidRPr="00D24725" w:rsidRDefault="005107BD" w:rsidP="00440CDE">
      <w:pPr>
        <w:ind w:firstLine="567"/>
        <w:jc w:val="both"/>
        <w:rPr>
          <w:sz w:val="28"/>
          <w:szCs w:val="28"/>
        </w:rPr>
      </w:pPr>
      <w:r w:rsidRPr="00C35D13">
        <w:rPr>
          <w:sz w:val="28"/>
          <w:szCs w:val="28"/>
        </w:rPr>
        <w:tab/>
      </w:r>
      <w:r w:rsidR="00796437" w:rsidRPr="00D24725">
        <w:rPr>
          <w:sz w:val="28"/>
          <w:szCs w:val="28"/>
        </w:rPr>
        <w:t>Руководствуясь пунктом 7 статьи 54 Федерального закона «Об о</w:t>
      </w:r>
      <w:r w:rsidR="00796437" w:rsidRPr="00D24725">
        <w:rPr>
          <w:sz w:val="28"/>
          <w:szCs w:val="28"/>
        </w:rPr>
        <w:t>с</w:t>
      </w:r>
      <w:r w:rsidR="00796437" w:rsidRPr="00D24725">
        <w:rPr>
          <w:sz w:val="28"/>
          <w:szCs w:val="28"/>
        </w:rPr>
        <w:t>новных гарантиях избирательных прав и права на участие в референдуме граждан Ро</w:t>
      </w:r>
      <w:r w:rsidR="00796437" w:rsidRPr="00D24725">
        <w:rPr>
          <w:sz w:val="28"/>
          <w:szCs w:val="28"/>
        </w:rPr>
        <w:t>с</w:t>
      </w:r>
      <w:r w:rsidR="00796437" w:rsidRPr="00D24725">
        <w:rPr>
          <w:sz w:val="28"/>
          <w:szCs w:val="28"/>
        </w:rPr>
        <w:t>сийской Федерации»</w:t>
      </w:r>
      <w:r w:rsidR="00796437">
        <w:rPr>
          <w:sz w:val="28"/>
          <w:szCs w:val="28"/>
        </w:rPr>
        <w:t>,</w:t>
      </w:r>
      <w:r w:rsidR="00796437" w:rsidRPr="00D24725">
        <w:rPr>
          <w:sz w:val="28"/>
          <w:szCs w:val="28"/>
        </w:rPr>
        <w:t xml:space="preserve"> пунктом 1 статьи 47 Закона Чукотского автономного о</w:t>
      </w:r>
      <w:r w:rsidR="00796437" w:rsidRPr="00D24725">
        <w:rPr>
          <w:sz w:val="28"/>
          <w:szCs w:val="28"/>
        </w:rPr>
        <w:t>к</w:t>
      </w:r>
      <w:r w:rsidR="00796437" w:rsidRPr="00D24725">
        <w:rPr>
          <w:sz w:val="28"/>
          <w:szCs w:val="28"/>
        </w:rPr>
        <w:t>руга «О дополнительных гарантиях избирательных прав граждан при подгото</w:t>
      </w:r>
      <w:r w:rsidR="00796437" w:rsidRPr="00D24725">
        <w:rPr>
          <w:sz w:val="28"/>
          <w:szCs w:val="28"/>
        </w:rPr>
        <w:t>в</w:t>
      </w:r>
      <w:r w:rsidR="00796437">
        <w:rPr>
          <w:sz w:val="28"/>
          <w:szCs w:val="28"/>
        </w:rPr>
        <w:t xml:space="preserve">ке </w:t>
      </w:r>
      <w:r w:rsidR="00796437" w:rsidRPr="00D24725">
        <w:rPr>
          <w:sz w:val="28"/>
          <w:szCs w:val="28"/>
        </w:rPr>
        <w:t xml:space="preserve">и проведении выборов </w:t>
      </w:r>
      <w:r w:rsidR="00796437">
        <w:rPr>
          <w:sz w:val="28"/>
          <w:szCs w:val="28"/>
        </w:rPr>
        <w:t>в органы государственной власти Чукотского авт</w:t>
      </w:r>
      <w:r w:rsidR="00796437">
        <w:rPr>
          <w:sz w:val="28"/>
          <w:szCs w:val="28"/>
        </w:rPr>
        <w:t>о</w:t>
      </w:r>
      <w:r w:rsidR="00796437">
        <w:rPr>
          <w:sz w:val="28"/>
          <w:szCs w:val="28"/>
        </w:rPr>
        <w:t xml:space="preserve">номного округа и </w:t>
      </w:r>
      <w:r w:rsidR="00796437" w:rsidRPr="00D24725">
        <w:rPr>
          <w:sz w:val="28"/>
          <w:szCs w:val="28"/>
        </w:rPr>
        <w:t>в органы местного самоуправления в Чукотском авт</w:t>
      </w:r>
      <w:r w:rsidR="00796437" w:rsidRPr="00D24725">
        <w:rPr>
          <w:sz w:val="28"/>
          <w:szCs w:val="28"/>
        </w:rPr>
        <w:t>о</w:t>
      </w:r>
      <w:r w:rsidR="00796437" w:rsidRPr="00D24725">
        <w:rPr>
          <w:sz w:val="28"/>
          <w:szCs w:val="28"/>
        </w:rPr>
        <w:t>номном округе и права на участие в референдуме Чукотского автономного округа и м</w:t>
      </w:r>
      <w:r w:rsidR="00796437" w:rsidRPr="00D24725">
        <w:rPr>
          <w:sz w:val="28"/>
          <w:szCs w:val="28"/>
        </w:rPr>
        <w:t>е</w:t>
      </w:r>
      <w:r w:rsidR="00796437" w:rsidRPr="00D24725">
        <w:rPr>
          <w:sz w:val="28"/>
          <w:szCs w:val="28"/>
        </w:rPr>
        <w:t xml:space="preserve">стных референдумах в Чукотском </w:t>
      </w:r>
      <w:r w:rsidR="00796437">
        <w:rPr>
          <w:sz w:val="28"/>
          <w:szCs w:val="28"/>
        </w:rPr>
        <w:t>автономном округе»</w:t>
      </w:r>
      <w:r w:rsidR="00796437" w:rsidRPr="00D24725">
        <w:rPr>
          <w:sz w:val="28"/>
          <w:szCs w:val="28"/>
        </w:rPr>
        <w:t>, Администрация горо</w:t>
      </w:r>
      <w:r w:rsidR="00796437" w:rsidRPr="00D24725">
        <w:rPr>
          <w:sz w:val="28"/>
          <w:szCs w:val="28"/>
        </w:rPr>
        <w:t>д</w:t>
      </w:r>
      <w:r w:rsidR="00796437" w:rsidRPr="00D24725">
        <w:rPr>
          <w:sz w:val="28"/>
          <w:szCs w:val="28"/>
        </w:rPr>
        <w:t>ского поселения Беринговский,</w:t>
      </w:r>
    </w:p>
    <w:p w:rsidR="00796437" w:rsidRDefault="00796437" w:rsidP="00796437">
      <w:pPr>
        <w:jc w:val="both"/>
        <w:rPr>
          <w:sz w:val="28"/>
          <w:szCs w:val="28"/>
        </w:rPr>
      </w:pPr>
    </w:p>
    <w:p w:rsidR="00796437" w:rsidRDefault="00796437" w:rsidP="007964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6437" w:rsidRPr="00C2701A" w:rsidRDefault="00796437" w:rsidP="00796437">
      <w:pPr>
        <w:jc w:val="both"/>
        <w:rPr>
          <w:sz w:val="28"/>
          <w:szCs w:val="28"/>
        </w:rPr>
      </w:pPr>
    </w:p>
    <w:p w:rsidR="00796437" w:rsidRDefault="00796437" w:rsidP="00796437">
      <w:pPr>
        <w:pStyle w:val="ad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firstLine="567"/>
        <w:jc w:val="both"/>
      </w:pPr>
      <w:r w:rsidRPr="00D24725">
        <w:t>Выделить на территории городского полселения Беринговский спец</w:t>
      </w:r>
      <w:r w:rsidRPr="00D24725">
        <w:t>и</w:t>
      </w:r>
      <w:r w:rsidRPr="00D24725">
        <w:t xml:space="preserve">альные места для размещения </w:t>
      </w:r>
      <w:r>
        <w:t>предвыборных печатных агитационных и и</w:t>
      </w:r>
      <w:r>
        <w:t>н</w:t>
      </w:r>
      <w:r>
        <w:t xml:space="preserve">формационных материалов при подготовке и проведении </w:t>
      </w:r>
      <w:r w:rsidRPr="00D24725">
        <w:t xml:space="preserve">выборов </w:t>
      </w:r>
      <w:r>
        <w:t>депут</w:t>
      </w:r>
      <w:r>
        <w:t>а</w:t>
      </w:r>
      <w:r>
        <w:t>тов</w:t>
      </w:r>
      <w:r w:rsidR="004744C3">
        <w:t xml:space="preserve"> Государственной </w:t>
      </w:r>
      <w:r>
        <w:t xml:space="preserve">Думы </w:t>
      </w:r>
      <w:r w:rsidR="00440CDE">
        <w:t>Федерального С</w:t>
      </w:r>
      <w:r w:rsidR="004744C3">
        <w:t>обрания Российской Федерации сед</w:t>
      </w:r>
      <w:r w:rsidR="004744C3">
        <w:t>ь</w:t>
      </w:r>
      <w:r w:rsidR="004744C3">
        <w:t>мо</w:t>
      </w:r>
      <w:r w:rsidR="00440CDE">
        <w:t xml:space="preserve">го созыва, </w:t>
      </w:r>
      <w:r w:rsidR="004744C3">
        <w:t>выборов депутатов Думы Чукотского автономного округа шест</w:t>
      </w:r>
      <w:r w:rsidR="004744C3">
        <w:t>о</w:t>
      </w:r>
      <w:r w:rsidR="004744C3">
        <w:t>го созыва</w:t>
      </w:r>
      <w:r>
        <w:t xml:space="preserve">, </w:t>
      </w:r>
      <w:r w:rsidR="00440CDE">
        <w:t>Главы Анадырского муниципального района, депутатов Совета депут</w:t>
      </w:r>
      <w:r w:rsidR="00440CDE">
        <w:t>а</w:t>
      </w:r>
      <w:r w:rsidR="00440CDE">
        <w:t xml:space="preserve">тов Анадырского муниципального района третьего созыва, </w:t>
      </w:r>
      <w:r>
        <w:t>назначен</w:t>
      </w:r>
      <w:r w:rsidR="004744C3">
        <w:t>ных на 18 сентября 2016</w:t>
      </w:r>
      <w:r>
        <w:t xml:space="preserve"> года</w:t>
      </w:r>
      <w:r w:rsidRPr="00D24725">
        <w:t>, на следующих зданиях и с</w:t>
      </w:r>
      <w:r w:rsidRPr="00D24725">
        <w:t>о</w:t>
      </w:r>
      <w:r w:rsidRPr="00D24725">
        <w:t>оружениях:</w:t>
      </w:r>
    </w:p>
    <w:p w:rsidR="00440CDE" w:rsidRPr="00D24725" w:rsidRDefault="00440CDE" w:rsidP="00440CDE">
      <w:pPr>
        <w:pStyle w:val="ad"/>
        <w:tabs>
          <w:tab w:val="num" w:pos="1080"/>
        </w:tabs>
        <w:jc w:val="both"/>
      </w:pPr>
    </w:p>
    <w:p w:rsidR="00796437" w:rsidRDefault="00796437" w:rsidP="00440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B56">
        <w:rPr>
          <w:sz w:val="28"/>
          <w:szCs w:val="28"/>
        </w:rPr>
        <w:t>магазин «Навигатор»,  улица  Мандрикова, дом № 9 (информационный стенд в помеще</w:t>
      </w:r>
      <w:r>
        <w:rPr>
          <w:sz w:val="28"/>
          <w:szCs w:val="28"/>
        </w:rPr>
        <w:t>нии</w:t>
      </w:r>
      <w:r w:rsidRPr="001D5B56">
        <w:rPr>
          <w:sz w:val="28"/>
          <w:szCs w:val="28"/>
        </w:rPr>
        <w:t xml:space="preserve"> магазина «Навигатор</w:t>
      </w:r>
      <w:r>
        <w:rPr>
          <w:sz w:val="28"/>
          <w:szCs w:val="28"/>
        </w:rPr>
        <w:t>»,</w:t>
      </w:r>
      <w:r w:rsidRPr="001D5B56">
        <w:rPr>
          <w:sz w:val="28"/>
          <w:szCs w:val="28"/>
        </w:rPr>
        <w:t xml:space="preserve"> ООО «Берингов пролив»); </w:t>
      </w:r>
    </w:p>
    <w:p w:rsidR="00440CDE" w:rsidRPr="001D5B56" w:rsidRDefault="00440CDE" w:rsidP="00440CDE">
      <w:pPr>
        <w:ind w:firstLine="567"/>
        <w:jc w:val="both"/>
        <w:rPr>
          <w:sz w:val="28"/>
          <w:szCs w:val="28"/>
        </w:rPr>
      </w:pPr>
    </w:p>
    <w:p w:rsidR="00796437" w:rsidRPr="001D5B56" w:rsidRDefault="00796437" w:rsidP="00440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B56">
        <w:rPr>
          <w:sz w:val="28"/>
          <w:szCs w:val="28"/>
        </w:rPr>
        <w:t>ППК Беринговский открытого акционерного общества «Анадырский морпорт», улица Набережная, дом № 8, (информационный стенд в помещении ППК Беринговский ОАО «Анадырский морпорт»);</w:t>
      </w:r>
    </w:p>
    <w:p w:rsidR="00796437" w:rsidRPr="001D5B56" w:rsidRDefault="00796437" w:rsidP="00440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1D5B56">
        <w:rPr>
          <w:sz w:val="28"/>
          <w:szCs w:val="28"/>
        </w:rPr>
        <w:t>униципальное унитарное предприятие «Торгово-производственный ком</w:t>
      </w:r>
      <w:r>
        <w:rPr>
          <w:sz w:val="28"/>
          <w:szCs w:val="28"/>
        </w:rPr>
        <w:t xml:space="preserve">плекс Южный», улица Мандрикова, дом № </w:t>
      </w:r>
      <w:r w:rsidRPr="001D5B56">
        <w:rPr>
          <w:sz w:val="28"/>
          <w:szCs w:val="28"/>
        </w:rPr>
        <w:t>8 (информационный стенд в п</w:t>
      </w:r>
      <w:r w:rsidRPr="001D5B56">
        <w:rPr>
          <w:sz w:val="28"/>
          <w:szCs w:val="28"/>
        </w:rPr>
        <w:t>о</w:t>
      </w:r>
      <w:r w:rsidRPr="001D5B56">
        <w:rPr>
          <w:sz w:val="28"/>
          <w:szCs w:val="28"/>
        </w:rPr>
        <w:t>мещении здания МУП «Торгово-производственный комплекс Южный»).</w:t>
      </w:r>
    </w:p>
    <w:p w:rsidR="00796437" w:rsidRPr="00945062" w:rsidRDefault="00796437" w:rsidP="00796437">
      <w:pPr>
        <w:ind w:left="720"/>
        <w:jc w:val="both"/>
        <w:rPr>
          <w:bCs/>
          <w:sz w:val="28"/>
        </w:rPr>
      </w:pPr>
    </w:p>
    <w:p w:rsidR="00796437" w:rsidRDefault="00796437" w:rsidP="00796437">
      <w:pPr>
        <w:pStyle w:val="ad"/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</w:pPr>
      <w:r>
        <w:t>Настоящее постановление направить в Территориальную избирательную комиссию Анадырского муниципального района.</w:t>
      </w:r>
    </w:p>
    <w:p w:rsidR="00796437" w:rsidRDefault="00796437" w:rsidP="00796437">
      <w:pPr>
        <w:pStyle w:val="ad"/>
        <w:ind w:firstLine="567"/>
        <w:jc w:val="both"/>
      </w:pPr>
    </w:p>
    <w:p w:rsidR="00796437" w:rsidRDefault="00796437" w:rsidP="00796437">
      <w:pPr>
        <w:pStyle w:val="ad"/>
        <w:ind w:firstLine="567"/>
        <w:jc w:val="both"/>
      </w:pPr>
      <w:r>
        <w:t>3. Настоящее постановление подлежит обнародованию и вступает в силу с момента обнародования.</w:t>
      </w:r>
    </w:p>
    <w:p w:rsidR="00796437" w:rsidRDefault="00796437" w:rsidP="00796437">
      <w:pPr>
        <w:pStyle w:val="ad"/>
        <w:jc w:val="both"/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</w:t>
      </w:r>
      <w:r>
        <w:rPr>
          <w:b w:val="0"/>
          <w:szCs w:val="28"/>
        </w:rPr>
        <w:t xml:space="preserve">     </w:t>
      </w:r>
      <w:r w:rsidRPr="00D9062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                С.А. Скрупский</w:t>
      </w: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</w:p>
    <w:sectPr w:rsidR="00796437" w:rsidSect="004744C3">
      <w:headerReference w:type="even" r:id="rId9"/>
      <w:pgSz w:w="11909" w:h="16834"/>
      <w:pgMar w:top="851" w:right="737" w:bottom="851" w:left="153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5C" w:rsidRDefault="000D175C">
      <w:r>
        <w:separator/>
      </w:r>
    </w:p>
  </w:endnote>
  <w:endnote w:type="continuationSeparator" w:id="1">
    <w:p w:rsidR="000D175C" w:rsidRDefault="000D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5C" w:rsidRDefault="000D175C">
      <w:r>
        <w:separator/>
      </w:r>
    </w:p>
  </w:footnote>
  <w:footnote w:type="continuationSeparator" w:id="1">
    <w:p w:rsidR="000D175C" w:rsidRDefault="000D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560CAF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917"/>
    <w:multiLevelType w:val="hybridMultilevel"/>
    <w:tmpl w:val="4DC04996"/>
    <w:lvl w:ilvl="0" w:tplc="8A08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A53C0"/>
    <w:rsid w:val="000B0CAE"/>
    <w:rsid w:val="000B19A0"/>
    <w:rsid w:val="000C0849"/>
    <w:rsid w:val="000D175C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0F7E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0CDE"/>
    <w:rsid w:val="00446558"/>
    <w:rsid w:val="00450CAC"/>
    <w:rsid w:val="00456581"/>
    <w:rsid w:val="0047094A"/>
    <w:rsid w:val="004744C3"/>
    <w:rsid w:val="004757D9"/>
    <w:rsid w:val="00477033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60CAF"/>
    <w:rsid w:val="00572D48"/>
    <w:rsid w:val="00576BEB"/>
    <w:rsid w:val="00576E56"/>
    <w:rsid w:val="00580E5A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96437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A7009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647F2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2CCD"/>
    <w:rsid w:val="00C345F8"/>
    <w:rsid w:val="00C359D1"/>
    <w:rsid w:val="00C35D13"/>
    <w:rsid w:val="00C47BB7"/>
    <w:rsid w:val="00C60194"/>
    <w:rsid w:val="00C9605E"/>
    <w:rsid w:val="00C96742"/>
    <w:rsid w:val="00CA25DC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paragraph" w:styleId="ad">
    <w:name w:val="Title"/>
    <w:basedOn w:val="a"/>
    <w:link w:val="ae"/>
    <w:qFormat/>
    <w:rsid w:val="0079643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9643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91CA-CF3B-4271-AAAC-18A5BB0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2</cp:revision>
  <cp:lastPrinted>2016-08-02T14:40:00Z</cp:lastPrinted>
  <dcterms:created xsi:type="dcterms:W3CDTF">2016-08-02T14:47:00Z</dcterms:created>
  <dcterms:modified xsi:type="dcterms:W3CDTF">2016-08-02T14:47:00Z</dcterms:modified>
</cp:coreProperties>
</file>